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9AAD2">
      <w:pPr>
        <w:spacing w:line="600" w:lineRule="exact"/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</w:rPr>
        <w:t>附件1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</w:p>
    <w:p w14:paraId="615E1AA6">
      <w:pPr>
        <w:spacing w:line="600" w:lineRule="exact"/>
        <w:jc w:val="center"/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长江师范学院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产教融合示范专业认定</w:t>
      </w:r>
      <w:r>
        <w:rPr>
          <w:rFonts w:hint="eastAsia" w:ascii="方正小标宋简体" w:hAnsi="方正小标宋简体" w:eastAsia="方正小标宋简体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标准</w:t>
      </w:r>
    </w:p>
    <w:tbl>
      <w:tblPr>
        <w:tblStyle w:val="4"/>
        <w:tblW w:w="9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1413"/>
        <w:gridCol w:w="4086"/>
        <w:gridCol w:w="2957"/>
      </w:tblGrid>
      <w:tr w14:paraId="48346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7231324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一级指标</w:t>
            </w:r>
          </w:p>
          <w:p w14:paraId="420E1697">
            <w:pPr>
              <w:jc w:val="center"/>
              <w:rPr>
                <w:rFonts w:hint="eastAsia" w:ascii="仿宋" w:hAnsi="仿宋" w:eastAsia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共7类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64630E8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二级指标</w:t>
            </w:r>
          </w:p>
          <w:p w14:paraId="7AF1F7A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共16项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473071F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指标说明</w:t>
            </w:r>
          </w:p>
        </w:tc>
        <w:tc>
          <w:tcPr>
            <w:tcW w:w="2957" w:type="dxa"/>
            <w:vAlign w:val="center"/>
          </w:tcPr>
          <w:p w14:paraId="51E13829">
            <w:pPr>
              <w:jc w:val="center"/>
              <w:rPr>
                <w:rFonts w:hint="default" w:ascii="仿宋" w:hAnsi="仿宋" w:eastAsia="仿宋"/>
                <w:b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观测点（2022-2024年）</w:t>
            </w:r>
          </w:p>
        </w:tc>
      </w:tr>
      <w:tr w14:paraId="1722E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3" w:type="dxa"/>
            <w:vMerge w:val="restart"/>
            <w:vAlign w:val="center"/>
          </w:tcPr>
          <w:p w14:paraId="1E5CF487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1.产教融合体制机制</w:t>
            </w:r>
          </w:p>
          <w:p w14:paraId="340B29E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6F1D9B22">
            <w:pPr>
              <w:jc w:val="center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1.1教学模式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4分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DD55B1D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依托学院或专业（群）立项校级以上现代产业学院，推动人才培养与产业需求的精准对接。</w:t>
            </w:r>
          </w:p>
        </w:tc>
        <w:tc>
          <w:tcPr>
            <w:tcW w:w="2957" w:type="dxa"/>
            <w:vAlign w:val="center"/>
          </w:tcPr>
          <w:p w14:paraId="5D1559CD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已立项市、校级现代产业学院。（市级可算作完成2项认定条件）。</w:t>
            </w:r>
          </w:p>
        </w:tc>
      </w:tr>
      <w:tr w14:paraId="483E8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113999B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57F8A49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 w:val="20"/>
                <w:szCs w:val="20"/>
              </w:rPr>
              <w:t>1.2</w:t>
            </w:r>
            <w:r>
              <w:rPr>
                <w:rFonts w:hint="eastAsia" w:ascii="仿宋" w:hAnsi="仿宋" w:eastAsia="仿宋"/>
                <w:bCs/>
                <w:szCs w:val="21"/>
              </w:rPr>
              <w:t>校企合作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8CE905D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校企各方签订合作建设协议，配套出台产教融合教育制度文件，成立教学委员会定期开展交流研讨，在专业发展规划、培养方案制订等方面具有良好合作基础。</w:t>
            </w:r>
          </w:p>
        </w:tc>
        <w:tc>
          <w:tcPr>
            <w:tcW w:w="2957" w:type="dxa"/>
            <w:vAlign w:val="center"/>
          </w:tcPr>
          <w:p w14:paraId="27852E62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校企合作协议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B511CF9">
            <w:pPr>
              <w:numPr>
                <w:ilvl w:val="0"/>
                <w:numId w:val="1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产教融合制度文件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1D15F37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（3）工作（会议）记录、照片等。</w:t>
            </w:r>
          </w:p>
        </w:tc>
      </w:tr>
      <w:tr w14:paraId="40071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156A38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3CC9337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1.3质量保障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3分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A3873A8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主动适应社会需求，积极开展人才需求和毕业生跟踪调查，形成专业调研报告；校企共同制定人才培养方案并持续优化完善，与行业产业发展趋势相匹配。</w:t>
            </w:r>
          </w:p>
        </w:tc>
        <w:tc>
          <w:tcPr>
            <w:tcW w:w="2957" w:type="dxa"/>
            <w:vAlign w:val="center"/>
          </w:tcPr>
          <w:p w14:paraId="52B9C33B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专业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人才需求</w:t>
            </w:r>
            <w:r>
              <w:rPr>
                <w:rFonts w:hint="eastAsia" w:ascii="仿宋" w:hAnsi="仿宋" w:eastAsia="仿宋"/>
                <w:bCs/>
                <w:szCs w:val="21"/>
              </w:rPr>
              <w:t>调研报告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3B83880C">
            <w:pPr>
              <w:numPr>
                <w:ilvl w:val="0"/>
                <w:numId w:val="2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毕业生跟踪调查报告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/>
                <w:bCs/>
                <w:szCs w:val="21"/>
              </w:rPr>
              <w:t>（3）专业建设发展规划，近三年人才培养方案变化情况。</w:t>
            </w:r>
          </w:p>
        </w:tc>
      </w:tr>
      <w:tr w14:paraId="6BCA6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443" w:type="dxa"/>
            <w:vMerge w:val="restart"/>
            <w:vAlign w:val="center"/>
          </w:tcPr>
          <w:p w14:paraId="6B1CFC2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2.人才培养方案与模式</w:t>
            </w:r>
          </w:p>
          <w:p w14:paraId="1F3D4506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5202A45C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2.1 人才培养模式改革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Merge w:val="restart"/>
            <w:vAlign w:val="center"/>
          </w:tcPr>
          <w:p w14:paraId="4A6833D0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积极探索产学研深度融合的人才培养新模式，实施改革成效显著，有效提高了人才培养质量。</w:t>
            </w:r>
          </w:p>
        </w:tc>
        <w:tc>
          <w:tcPr>
            <w:tcW w:w="2957" w:type="dxa"/>
            <w:vAlign w:val="center"/>
          </w:tcPr>
          <w:p w14:paraId="1A989CF7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人才培养模式改革或专业改造实施案例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03D7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3" w:type="dxa"/>
            <w:vMerge w:val="continue"/>
            <w:vAlign w:val="center"/>
          </w:tcPr>
          <w:p w14:paraId="4DE53E95">
            <w:pPr>
              <w:jc w:val="left"/>
            </w:pPr>
          </w:p>
        </w:tc>
        <w:tc>
          <w:tcPr>
            <w:tcW w:w="1413" w:type="dxa"/>
            <w:vMerge w:val="continue"/>
            <w:vAlign w:val="center"/>
          </w:tcPr>
          <w:p w14:paraId="6E9EAE92">
            <w:pPr>
              <w:jc w:val="center"/>
            </w:pPr>
          </w:p>
        </w:tc>
        <w:tc>
          <w:tcPr>
            <w:tcW w:w="4086" w:type="dxa"/>
            <w:vMerge w:val="continue"/>
            <w:vAlign w:val="center"/>
          </w:tcPr>
          <w:p w14:paraId="589C0C13">
            <w:pPr>
              <w:jc w:val="left"/>
            </w:pPr>
          </w:p>
        </w:tc>
        <w:tc>
          <w:tcPr>
            <w:tcW w:w="2957" w:type="dxa"/>
            <w:vAlign w:val="center"/>
          </w:tcPr>
          <w:p w14:paraId="75882A9D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人才培养模式改革相关教改项目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6B39D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049E4589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46DE407B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</w:p>
        </w:tc>
        <w:tc>
          <w:tcPr>
            <w:tcW w:w="4086" w:type="dxa"/>
            <w:vMerge w:val="continue"/>
            <w:vAlign w:val="center"/>
          </w:tcPr>
          <w:p w14:paraId="575C92DD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957" w:type="dxa"/>
            <w:vAlign w:val="center"/>
          </w:tcPr>
          <w:p w14:paraId="157AFC82">
            <w:pPr>
              <w:rPr>
                <w:rFonts w:hint="eastAsia"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 w:val="0"/>
                <w:bCs/>
                <w:strike w:val="0"/>
                <w:dstrike w:val="0"/>
                <w:color w:val="auto"/>
                <w:szCs w:val="21"/>
                <w:highlight w:val="none"/>
              </w:rPr>
              <w:t>（1）</w:t>
            </w:r>
            <w:r>
              <w:rPr>
                <w:rFonts w:hint="eastAsia" w:ascii="仿宋" w:hAnsi="仿宋" w:eastAsia="仿宋"/>
                <w:bCs/>
                <w:strike w:val="0"/>
                <w:dstrike w:val="0"/>
                <w:color w:val="auto"/>
                <w:szCs w:val="21"/>
                <w:highlight w:val="none"/>
              </w:rPr>
              <w:t>毕业生</w:t>
            </w:r>
            <w:r>
              <w:rPr>
                <w:rFonts w:hint="eastAsia"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  <w:t>获取的符合专业的职业资格证书比例≥8</w:t>
            </w:r>
            <w:r>
              <w:rPr>
                <w:rFonts w:ascii="仿宋" w:hAnsi="仿宋" w:eastAsia="仿宋"/>
                <w:strike w:val="0"/>
                <w:dstrike w:val="0"/>
                <w:color w:val="auto"/>
                <w:szCs w:val="21"/>
                <w:highlight w:val="none"/>
              </w:rPr>
              <w:t>0%;</w:t>
            </w:r>
          </w:p>
          <w:p w14:paraId="2A35C0FF">
            <w:pPr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（2）毕业生初次就业率≥8</w:t>
            </w: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0%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，专业对口率≥</w:t>
            </w:r>
            <w:r>
              <w:rPr>
                <w:rFonts w:ascii="仿宋" w:hAnsi="仿宋" w:eastAsia="仿宋"/>
                <w:color w:val="auto"/>
                <w:szCs w:val="21"/>
                <w:highlight w:val="none"/>
              </w:rPr>
              <w:t>50%</w:t>
            </w:r>
            <w:r>
              <w:rPr>
                <w:rFonts w:hint="eastAsia" w:ascii="仿宋" w:hAnsi="仿宋" w:eastAsia="仿宋"/>
                <w:color w:val="auto"/>
                <w:szCs w:val="21"/>
                <w:highlight w:val="none"/>
                <w:lang w:eastAsia="zh-CN"/>
              </w:rPr>
              <w:t>。</w:t>
            </w:r>
          </w:p>
        </w:tc>
      </w:tr>
      <w:tr w14:paraId="3ABE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441C70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0A7CD23A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2.2人才培养方案</w:t>
            </w:r>
          </w:p>
          <w:p w14:paraId="3682EA21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199B284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专业定位准确，职业岗位（群）明确，培养目标清晰，课程体系结构合理，课程设置科学。</w:t>
            </w:r>
          </w:p>
        </w:tc>
        <w:tc>
          <w:tcPr>
            <w:tcW w:w="2957" w:type="dxa"/>
            <w:vAlign w:val="center"/>
          </w:tcPr>
          <w:p w14:paraId="30625BAE">
            <w:pPr>
              <w:numPr>
                <w:ilvl w:val="0"/>
                <w:numId w:val="3"/>
              </w:num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培养方案中校企共建专业课门数3门以上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；</w:t>
            </w:r>
          </w:p>
          <w:p w14:paraId="4863E113">
            <w:pPr>
              <w:numPr>
                <w:ilvl w:val="0"/>
                <w:numId w:val="3"/>
              </w:numPr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实践性教学课时中来源于相关企业项目内容不少于30%。</w:t>
            </w:r>
          </w:p>
        </w:tc>
      </w:tr>
      <w:tr w14:paraId="33F3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9192371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147186DC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2.3专业共建</w:t>
            </w:r>
          </w:p>
          <w:p w14:paraId="12062F1D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624F7379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实质性开设产学一体实验班或微专业</w:t>
            </w:r>
          </w:p>
        </w:tc>
        <w:tc>
          <w:tcPr>
            <w:tcW w:w="2957" w:type="dxa"/>
            <w:vAlign w:val="center"/>
          </w:tcPr>
          <w:p w14:paraId="1D0DC2B9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实验班或微专业运行情况记录和相应的人才培养方案。</w:t>
            </w:r>
          </w:p>
        </w:tc>
      </w:tr>
      <w:tr w14:paraId="421E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3260B128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3.课程与教学改革</w:t>
            </w:r>
          </w:p>
          <w:p w14:paraId="26C2A82C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20分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42791962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3.1课程共建</w:t>
            </w:r>
          </w:p>
          <w:p w14:paraId="7E9ACD9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3ACF93E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根据产业需求和职业发展能力需求联合开展课程建设，课程建设有成效。</w:t>
            </w:r>
          </w:p>
        </w:tc>
        <w:tc>
          <w:tcPr>
            <w:tcW w:w="2957" w:type="dxa"/>
            <w:vAlign w:val="center"/>
          </w:tcPr>
          <w:p w14:paraId="4868D8F5">
            <w:pPr>
              <w:numPr>
                <w:ilvl w:val="0"/>
                <w:numId w:val="4"/>
              </w:num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已经实施校企共建课程3门以上，提供整套课程材料；</w:t>
            </w:r>
          </w:p>
          <w:p w14:paraId="79580E03">
            <w:pPr>
              <w:numPr>
                <w:ilvl w:val="0"/>
                <w:numId w:val="4"/>
              </w:num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立项校级以上的共建示范课程1门以上（依托共建课程认定的市级一流课程可视为完成2项认定条件）。</w:t>
            </w:r>
          </w:p>
        </w:tc>
      </w:tr>
      <w:tr w14:paraId="4D154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49D8100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96AA5AE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3.2教学改革</w:t>
            </w:r>
          </w:p>
          <w:p w14:paraId="5F9F3D2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1B62E565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专业教学改革突出学生职业能力培养，推行项目教学、案例教学、情景教学、工作过程导向教学，充分运用多种教学方法激发学生的学习兴趣和积极性。</w:t>
            </w:r>
          </w:p>
        </w:tc>
        <w:tc>
          <w:tcPr>
            <w:tcW w:w="2957" w:type="dxa"/>
            <w:vAlign w:val="center"/>
          </w:tcPr>
          <w:p w14:paraId="3C071DB9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产教融合相关校级重点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以上</w:t>
            </w:r>
            <w:r>
              <w:rPr>
                <w:rFonts w:hint="eastAsia" w:ascii="仿宋" w:hAnsi="仿宋" w:eastAsia="仿宋"/>
                <w:bCs/>
                <w:szCs w:val="21"/>
              </w:rPr>
              <w:t>教改项目（已结题）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780C075D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校级以上教师教学比赛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获等级奖；</w:t>
            </w:r>
          </w:p>
          <w:p w14:paraId="00836DBB">
            <w:pPr>
              <w:numPr>
                <w:ilvl w:val="0"/>
                <w:numId w:val="5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教育部</w:t>
            </w:r>
            <w:r>
              <w:rPr>
                <w:rFonts w:hint="eastAsia" w:ascii="仿宋" w:hAnsi="仿宋" w:eastAsia="仿宋"/>
                <w:bCs/>
                <w:szCs w:val="21"/>
              </w:rPr>
              <w:t>产学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合作协同育人</w:t>
            </w:r>
            <w:r>
              <w:rPr>
                <w:rFonts w:hint="eastAsia" w:ascii="仿宋" w:hAnsi="仿宋" w:eastAsia="仿宋"/>
                <w:bCs/>
                <w:szCs w:val="21"/>
              </w:rPr>
              <w:t>项目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已结项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）。</w:t>
            </w:r>
          </w:p>
        </w:tc>
      </w:tr>
      <w:tr w14:paraId="01A0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43F66F9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6024B5E5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3.3教学资源</w:t>
            </w:r>
          </w:p>
          <w:p w14:paraId="28FA2BA4">
            <w:pPr>
              <w:jc w:val="center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7B63068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联合开发优质教学资源，及时将新技术、新工艺、新规范纳入课程教学内容，推进图书、教材、案例、影视、图片、课件以及教具等教学资源的开发与应用。</w:t>
            </w:r>
          </w:p>
        </w:tc>
        <w:tc>
          <w:tcPr>
            <w:tcW w:w="2957" w:type="dxa"/>
            <w:vAlign w:val="center"/>
          </w:tcPr>
          <w:p w14:paraId="20FF52CD">
            <w:pPr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（1）主编（参编）出版校企共建教材1本以上；</w:t>
            </w:r>
          </w:p>
          <w:p w14:paraId="7E183472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（2）校本产教融合案例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库</w:t>
            </w:r>
            <w:r>
              <w:rPr>
                <w:rFonts w:hint="eastAsia" w:ascii="仿宋" w:hAnsi="仿宋" w:eastAsia="仿宋"/>
                <w:bCs/>
                <w:szCs w:val="21"/>
              </w:rPr>
              <w:t>2个以上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21439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  <w:jc w:val="center"/>
        </w:trPr>
        <w:tc>
          <w:tcPr>
            <w:tcW w:w="1443" w:type="dxa"/>
            <w:vMerge w:val="restart"/>
            <w:vAlign w:val="center"/>
          </w:tcPr>
          <w:p w14:paraId="18780A0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4.实践教学能力</w:t>
            </w:r>
          </w:p>
          <w:p w14:paraId="4640D267">
            <w:pPr>
              <w:jc w:val="center"/>
              <w:rPr>
                <w:rFonts w:hint="default" w:ascii="仿宋" w:hAnsi="仿宋" w:eastAsia="仿宋"/>
                <w:b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20分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50249D08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4.1基地建设</w:t>
            </w:r>
          </w:p>
          <w:p w14:paraId="23F34408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7A92AF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根据生产、服务的真实技术和流程构建技术技能训练体系和实验实训实习环境、平台和基地，共建“做中学”的产教融合平台。</w:t>
            </w:r>
          </w:p>
        </w:tc>
        <w:tc>
          <w:tcPr>
            <w:tcW w:w="2957" w:type="dxa"/>
            <w:vAlign w:val="center"/>
          </w:tcPr>
          <w:p w14:paraId="622156C6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</w:t>
            </w:r>
            <w:r>
              <w:rPr>
                <w:rFonts w:hint="eastAsia" w:ascii="仿宋" w:hAnsi="仿宋" w:eastAsia="仿宋"/>
                <w:szCs w:val="21"/>
              </w:rPr>
              <w:t>有稳定的、满足专业教学要求的校外实习实训基地</w:t>
            </w:r>
            <w:r>
              <w:rPr>
                <w:rFonts w:hint="eastAsia" w:ascii="仿宋" w:hAnsi="仿宋" w:eastAsia="仿宋"/>
                <w:bCs/>
                <w:szCs w:val="21"/>
              </w:rPr>
              <w:t>5个以上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bCs/>
                <w:szCs w:val="21"/>
              </w:rPr>
              <w:t>基地能接收的实训学生数量不少于在校生人数2倍；</w:t>
            </w:r>
          </w:p>
          <w:p w14:paraId="340AE6C3">
            <w:p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bCs/>
                <w:szCs w:val="21"/>
              </w:rPr>
              <w:t>）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近一年</w:t>
            </w:r>
            <w:r>
              <w:rPr>
                <w:rFonts w:hint="eastAsia" w:ascii="仿宋" w:hAnsi="仿宋" w:eastAsia="仿宋"/>
                <w:bCs/>
                <w:szCs w:val="21"/>
              </w:rPr>
              <w:t>基地接收的集中实习生不少于应届学生总人数30%。</w:t>
            </w:r>
          </w:p>
        </w:tc>
      </w:tr>
      <w:tr w14:paraId="4E547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83EDE7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5EEA4523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4.2教学实施</w:t>
            </w:r>
          </w:p>
          <w:p w14:paraId="375C7C33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C6B46D9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按照企业规范进行工程化培训和项目训练，开发企业课程模块或实训项目，真题真做。</w:t>
            </w:r>
          </w:p>
        </w:tc>
        <w:tc>
          <w:tcPr>
            <w:tcW w:w="2957" w:type="dxa"/>
            <w:vAlign w:val="center"/>
          </w:tcPr>
          <w:p w14:paraId="1A89EBB2">
            <w:pPr>
              <w:numPr>
                <w:ilvl w:val="0"/>
                <w:numId w:val="6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企业行业一线工程师指导实践教学学时数不少于实践总学时30%；</w:t>
            </w:r>
          </w:p>
          <w:p w14:paraId="3823BE9E">
            <w:pPr>
              <w:numPr>
                <w:ilvl w:val="0"/>
                <w:numId w:val="6"/>
              </w:numPr>
              <w:jc w:val="left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项目式实践教学的整套教学材料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52C0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19F24EE8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7FC9E5E1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7F84F38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实施双导师制，将技术革新项目作为大学生毕业设计（论文）的课题来源，培养学生创新精神和实践动手能力。</w:t>
            </w:r>
          </w:p>
        </w:tc>
        <w:tc>
          <w:tcPr>
            <w:tcW w:w="2957" w:type="dxa"/>
            <w:vAlign w:val="center"/>
          </w:tcPr>
          <w:p w14:paraId="2A7E84FD">
            <w:pPr>
              <w:pStyle w:val="2"/>
              <w:shd w:val="clear" w:color="auto" w:fill="FFFFFF"/>
              <w:wordWrap w:val="0"/>
              <w:spacing w:before="0" w:beforeAutospacing="0" w:after="0" w:afterAutospacing="0" w:line="315" w:lineRule="atLeast"/>
              <w:jc w:val="both"/>
              <w:textAlignment w:val="baseline"/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近一年由学校教师和行业工程师担任大学生毕业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论文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val="en-US" w:eastAsia="zh-CN"/>
              </w:rPr>
              <w:t>设计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</w:rPr>
              <w:t>）双导师的应不少于30%</w:t>
            </w: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lang w:eastAsia="zh-CN"/>
              </w:rPr>
              <w:t>；</w:t>
            </w:r>
          </w:p>
          <w:p w14:paraId="10951236">
            <w:pPr>
              <w:pStyle w:val="2"/>
              <w:shd w:val="clear" w:color="auto" w:fill="FFFFFF"/>
              <w:wordWrap w:val="0"/>
              <w:spacing w:before="0" w:beforeAutospacing="0" w:after="0" w:afterAutospacing="0" w:line="315" w:lineRule="atLeast"/>
              <w:jc w:val="both"/>
              <w:textAlignment w:val="baseline"/>
              <w:rPr>
                <w:rFonts w:hint="default" w:ascii="仿宋" w:hAnsi="仿宋" w:eastAsia="仿宋" w:cstheme="minorBidi"/>
                <w:bCs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 w:cstheme="minorBidi"/>
                <w:bCs/>
                <w:kern w:val="2"/>
                <w:sz w:val="21"/>
                <w:szCs w:val="21"/>
                <w:highlight w:val="none"/>
                <w:lang w:val="en-US" w:eastAsia="zh-CN"/>
              </w:rPr>
              <w:t>（2）以实验、实习、工程实践和社会调查等实践性工作为基础的毕业论文（设计）比例应不少于50%。</w:t>
            </w:r>
          </w:p>
        </w:tc>
      </w:tr>
      <w:tr w14:paraId="5637C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restart"/>
            <w:vAlign w:val="center"/>
          </w:tcPr>
          <w:p w14:paraId="45701CC5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5.教师队伍建设</w:t>
            </w:r>
          </w:p>
          <w:p w14:paraId="3D3D13ED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790C7B5E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5.1教学团队</w:t>
            </w:r>
          </w:p>
          <w:p w14:paraId="4697AA7E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Merge w:val="restart"/>
            <w:vAlign w:val="center"/>
          </w:tcPr>
          <w:p w14:paraId="6EE5C220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专业带头人学识水平高；专任教师团队结构合理；行业（企业）兼职教师专业技术水平、承担工作量情况适中。</w:t>
            </w:r>
          </w:p>
        </w:tc>
        <w:tc>
          <w:tcPr>
            <w:tcW w:w="2957" w:type="dxa"/>
            <w:vAlign w:val="center"/>
          </w:tcPr>
          <w:p w14:paraId="7F5544ED">
            <w:pPr>
              <w:numPr>
                <w:ilvl w:val="0"/>
                <w:numId w:val="7"/>
              </w:num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专业聘请来自行业企业的兼职教师3人以上；</w:t>
            </w:r>
          </w:p>
          <w:p w14:paraId="05422951">
            <w:pPr>
              <w:numPr>
                <w:ilvl w:val="0"/>
                <w:numId w:val="7"/>
              </w:numPr>
              <w:jc w:val="left"/>
              <w:rPr>
                <w:rFonts w:hint="eastAsia"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兼职教师实质性参与教学、教研工作每学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年</w:t>
            </w:r>
            <w:r>
              <w:rPr>
                <w:rFonts w:hint="eastAsia" w:ascii="仿宋" w:hAnsi="仿宋" w:eastAsia="仿宋"/>
                <w:bCs/>
                <w:szCs w:val="21"/>
              </w:rPr>
              <w:t>折算课时不少于15学时/人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393A3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35D6C01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0A933E72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Merge w:val="continue"/>
            <w:vAlign w:val="center"/>
          </w:tcPr>
          <w:p w14:paraId="4DCF4EF7">
            <w:pPr>
              <w:jc w:val="left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957" w:type="dxa"/>
            <w:vAlign w:val="center"/>
          </w:tcPr>
          <w:p w14:paraId="2515325F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学校“双师双能型”教师占专任教师的比例达到40%以上。</w:t>
            </w:r>
          </w:p>
        </w:tc>
      </w:tr>
      <w:tr w14:paraId="7659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1443" w:type="dxa"/>
            <w:vMerge w:val="continue"/>
            <w:vAlign w:val="center"/>
          </w:tcPr>
          <w:p w14:paraId="0A14364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4724A35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5.2作用发挥</w:t>
            </w:r>
          </w:p>
          <w:p w14:paraId="66A0DB7C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6F95B0FD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校内外教师团队教育教学改革和校企合作成果突出，产学研转化带动作用发挥明显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Align w:val="center"/>
          </w:tcPr>
          <w:p w14:paraId="5CB3BCAA">
            <w:pPr>
              <w:jc w:val="left"/>
              <w:rPr>
                <w:rFonts w:hint="eastAsia" w:ascii="仿宋" w:hAnsi="仿宋" w:eastAsia="仿宋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highlight w:val="none"/>
              </w:rPr>
              <w:t>行业产业前沿技术转化为实训实践项目不少于总项目数10%</w:t>
            </w:r>
            <w:r>
              <w:rPr>
                <w:rFonts w:hint="eastAsia" w:ascii="仿宋" w:hAnsi="仿宋" w:eastAsia="仿宋"/>
                <w:szCs w:val="21"/>
                <w:highlight w:val="none"/>
                <w:lang w:eastAsia="zh-CN"/>
              </w:rPr>
              <w:t>。</w:t>
            </w:r>
          </w:p>
        </w:tc>
      </w:tr>
      <w:tr w14:paraId="3FE9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Align w:val="center"/>
          </w:tcPr>
          <w:p w14:paraId="69A2675A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6.创新创业教育</w:t>
            </w:r>
          </w:p>
          <w:p w14:paraId="653DD9C9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Align w:val="center"/>
          </w:tcPr>
          <w:p w14:paraId="1663DA6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6.1双创教育实践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15分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0FBECB82">
            <w:pPr>
              <w:jc w:val="left"/>
              <w:rPr>
                <w:rFonts w:hint="eastAsia" w:ascii="仿宋" w:hAnsi="仿宋" w:eastAsia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共建契合本专业特点的创新创业教育课程体系，实现创新创业教育目标在素质教育、专业课程、教学评价等方面的有效融合，共同指导大学生创新创业训练计划项目。</w:t>
            </w:r>
          </w:p>
        </w:tc>
        <w:tc>
          <w:tcPr>
            <w:tcW w:w="2957" w:type="dxa"/>
            <w:vAlign w:val="center"/>
          </w:tcPr>
          <w:p w14:paraId="2591FA24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（1）校企合作举办每年创新创业指导讲座5次以上；</w:t>
            </w:r>
          </w:p>
          <w:p w14:paraId="6C360E98">
            <w:pPr>
              <w:jc w:val="left"/>
              <w:rPr>
                <w:rFonts w:hint="eastAsia"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（2）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</w:rPr>
              <w:t>校企合作每年孵化学生创新创业项目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bCs/>
                <w:szCs w:val="21"/>
                <w:highlight w:val="none"/>
              </w:rPr>
              <w:t>项以上；</w:t>
            </w:r>
          </w:p>
          <w:p w14:paraId="129381DA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（3）学生在校级以上创新创业大赛或其他技能竞赛中获奖3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项</w:t>
            </w:r>
            <w:r>
              <w:rPr>
                <w:rFonts w:hint="eastAsia" w:ascii="仿宋" w:hAnsi="仿宋" w:eastAsia="仿宋"/>
                <w:bCs/>
                <w:szCs w:val="21"/>
              </w:rPr>
              <w:t>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其中市级不少于1项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）。</w:t>
            </w:r>
          </w:p>
        </w:tc>
      </w:tr>
      <w:tr w14:paraId="6D0BC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443" w:type="dxa"/>
            <w:vMerge w:val="restart"/>
            <w:vAlign w:val="center"/>
          </w:tcPr>
          <w:p w14:paraId="74F5E0DF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7.科研与社会服务</w:t>
            </w:r>
          </w:p>
          <w:p w14:paraId="063A423D">
            <w:pPr>
              <w:jc w:val="center"/>
              <w:rPr>
                <w:rFonts w:hint="eastAsia" w:ascii="仿宋" w:hAnsi="仿宋" w:eastAsia="仿宋"/>
                <w:b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szCs w:val="21"/>
                <w:lang w:val="en-US" w:eastAsia="zh-CN"/>
              </w:rPr>
              <w:t>10分</w:t>
            </w:r>
            <w:r>
              <w:rPr>
                <w:rFonts w:hint="eastAsia" w:ascii="仿宋" w:hAnsi="仿宋" w:eastAsia="仿宋"/>
                <w:b/>
                <w:szCs w:val="21"/>
                <w:lang w:eastAsia="zh-CN"/>
              </w:rPr>
              <w:t>）</w:t>
            </w:r>
          </w:p>
        </w:tc>
        <w:tc>
          <w:tcPr>
            <w:tcW w:w="1413" w:type="dxa"/>
            <w:vMerge w:val="restart"/>
            <w:vAlign w:val="center"/>
          </w:tcPr>
          <w:p w14:paraId="17C0D28F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7.1 科研能力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5B5A820D">
            <w:pPr>
              <w:jc w:val="lef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科研项目数量与水平。</w:t>
            </w:r>
          </w:p>
        </w:tc>
        <w:tc>
          <w:tcPr>
            <w:tcW w:w="2957" w:type="dxa"/>
            <w:vMerge w:val="restart"/>
            <w:vAlign w:val="center"/>
          </w:tcPr>
          <w:p w14:paraId="3A3C1F37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ascii="仿宋" w:hAnsi="仿宋" w:eastAsia="仿宋"/>
                <w:bCs/>
                <w:szCs w:val="21"/>
              </w:rPr>
              <w:t>1</w:t>
            </w:r>
            <w:r>
              <w:rPr>
                <w:rFonts w:hint="eastAsia" w:ascii="仿宋" w:hAnsi="仿宋" w:eastAsia="仿宋"/>
                <w:bCs/>
                <w:szCs w:val="21"/>
              </w:rPr>
              <w:t>）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每年</w:t>
            </w:r>
            <w:r>
              <w:rPr>
                <w:rFonts w:hint="eastAsia" w:ascii="仿宋" w:hAnsi="仿宋" w:eastAsia="仿宋"/>
                <w:bCs/>
                <w:szCs w:val="21"/>
              </w:rPr>
              <w:t>与企业合作开展的横向科研课题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2个以上，合计</w:t>
            </w:r>
            <w:r>
              <w:rPr>
                <w:rFonts w:hint="eastAsia" w:ascii="仿宋" w:hAnsi="仿宋" w:eastAsia="仿宋"/>
                <w:bCs/>
                <w:szCs w:val="21"/>
              </w:rPr>
              <w:t>经费20万以上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2F864970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</w:t>
            </w:r>
            <w:r>
              <w:rPr>
                <w:rFonts w:ascii="仿宋" w:hAnsi="仿宋" w:eastAsia="仿宋"/>
                <w:bCs/>
                <w:szCs w:val="21"/>
              </w:rPr>
              <w:t>2</w:t>
            </w:r>
            <w:r>
              <w:rPr>
                <w:rFonts w:hint="eastAsia" w:ascii="仿宋" w:hAnsi="仿宋" w:eastAsia="仿宋"/>
                <w:bCs/>
                <w:szCs w:val="21"/>
              </w:rPr>
              <w:t>）产教融合相关论文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；</w:t>
            </w:r>
          </w:p>
          <w:p w14:paraId="4DBC19F7">
            <w:pPr>
              <w:jc w:val="left"/>
              <w:rPr>
                <w:rFonts w:hint="default" w:ascii="仿宋" w:hAnsi="仿宋" w:eastAsia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（3）专业教师或学生申请的发明、</w:t>
            </w:r>
            <w:r>
              <w:fldChar w:fldCharType="begin"/>
            </w:r>
            <w:r>
              <w:instrText xml:space="preserve"> HYPERLINK "http://baike.baidu.com/view/89534.htm" \t "_blank" </w:instrText>
            </w:r>
            <w:r>
              <w:fldChar w:fldCharType="separate"/>
            </w:r>
            <w:r>
              <w:rPr>
                <w:rFonts w:hint="eastAsia" w:ascii="仿宋" w:hAnsi="仿宋" w:eastAsia="仿宋"/>
                <w:bCs/>
                <w:szCs w:val="21"/>
              </w:rPr>
              <w:t>实用新型</w:t>
            </w:r>
            <w:r>
              <w:rPr>
                <w:rFonts w:hint="eastAsia" w:ascii="仿宋" w:hAnsi="仿宋" w:eastAsia="仿宋"/>
                <w:bCs/>
                <w:szCs w:val="21"/>
              </w:rPr>
              <w:fldChar w:fldCharType="end"/>
            </w:r>
            <w:r>
              <w:rPr>
                <w:rFonts w:hint="eastAsia" w:ascii="仿宋" w:hAnsi="仿宋" w:eastAsia="仿宋"/>
                <w:bCs/>
                <w:szCs w:val="21"/>
              </w:rPr>
              <w:t>、外观专利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及科研奖励；</w:t>
            </w:r>
          </w:p>
          <w:p w14:paraId="70AE62A8">
            <w:pPr>
              <w:jc w:val="left"/>
              <w:rPr>
                <w:rFonts w:hint="eastAsia" w:ascii="仿宋" w:hAnsi="仿宋" w:eastAsia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（4）学生获得的学科竞赛奖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。</w:t>
            </w:r>
          </w:p>
        </w:tc>
      </w:tr>
      <w:tr w14:paraId="68308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43" w:type="dxa"/>
            <w:vMerge w:val="continue"/>
            <w:vAlign w:val="center"/>
          </w:tcPr>
          <w:p w14:paraId="777F9F32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760B42DD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2911024F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论文数量与水平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Merge w:val="continue"/>
            <w:vAlign w:val="center"/>
          </w:tcPr>
          <w:p w14:paraId="0C926B71">
            <w:pPr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</w:p>
        </w:tc>
      </w:tr>
      <w:tr w14:paraId="735A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27B50BEA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Merge w:val="continue"/>
            <w:vAlign w:val="center"/>
          </w:tcPr>
          <w:p w14:paraId="6796E2BA"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4086" w:type="dxa"/>
            <w:vAlign w:val="center"/>
          </w:tcPr>
          <w:p w14:paraId="2284E7CB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申请专利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科研奖励及学科竞赛奖项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Merge w:val="continue"/>
            <w:vAlign w:val="center"/>
          </w:tcPr>
          <w:p w14:paraId="5FBD11A3">
            <w:pPr>
              <w:jc w:val="center"/>
              <w:rPr>
                <w:rFonts w:hint="eastAsia" w:ascii="仿宋" w:hAnsi="仿宋" w:eastAsia="仿宋"/>
                <w:b/>
                <w:bCs/>
                <w:szCs w:val="21"/>
              </w:rPr>
            </w:pPr>
          </w:p>
        </w:tc>
      </w:tr>
      <w:tr w14:paraId="6081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3" w:type="dxa"/>
            <w:vMerge w:val="continue"/>
            <w:vAlign w:val="center"/>
          </w:tcPr>
          <w:p w14:paraId="748F9BCD">
            <w:pPr>
              <w:jc w:val="center"/>
              <w:rPr>
                <w:rFonts w:hint="eastAsia" w:ascii="仿宋" w:hAnsi="仿宋" w:eastAsia="仿宋"/>
                <w:b/>
                <w:szCs w:val="21"/>
              </w:rPr>
            </w:pPr>
          </w:p>
        </w:tc>
        <w:tc>
          <w:tcPr>
            <w:tcW w:w="1413" w:type="dxa"/>
            <w:vAlign w:val="center"/>
          </w:tcPr>
          <w:p w14:paraId="4458FACA"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7.2社会服务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Cs/>
                <w:szCs w:val="21"/>
                <w:lang w:val="en-US" w:eastAsia="zh-CN"/>
              </w:rPr>
              <w:t>5分</w:t>
            </w:r>
            <w:r>
              <w:rPr>
                <w:rFonts w:hint="eastAsia" w:ascii="仿宋" w:hAnsi="仿宋" w:eastAsia="仿宋"/>
                <w:bCs/>
                <w:szCs w:val="21"/>
                <w:lang w:eastAsia="zh-CN"/>
              </w:rPr>
              <w:t>）</w:t>
            </w:r>
          </w:p>
        </w:tc>
        <w:tc>
          <w:tcPr>
            <w:tcW w:w="4086" w:type="dxa"/>
            <w:vAlign w:val="center"/>
          </w:tcPr>
          <w:p w14:paraId="2499DFD7">
            <w:pPr>
              <w:jc w:val="lef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社会服务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。</w:t>
            </w:r>
          </w:p>
        </w:tc>
        <w:tc>
          <w:tcPr>
            <w:tcW w:w="2957" w:type="dxa"/>
            <w:vAlign w:val="center"/>
          </w:tcPr>
          <w:p w14:paraId="3E2D0762">
            <w:pPr>
              <w:jc w:val="left"/>
              <w:rPr>
                <w:rFonts w:hint="eastAsia" w:ascii="仿宋" w:hAnsi="仿宋" w:eastAsia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公开报道的</w:t>
            </w:r>
            <w:r>
              <w:rPr>
                <w:rFonts w:hint="eastAsia" w:ascii="仿宋" w:hAnsi="仿宋" w:eastAsia="仿宋"/>
                <w:szCs w:val="21"/>
              </w:rPr>
              <w:t>社会服务案例2个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以上。</w:t>
            </w:r>
          </w:p>
        </w:tc>
      </w:tr>
    </w:tbl>
    <w:p w14:paraId="7E4313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F180464-27F3-4496-820A-6191A1680C6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A61D1BA-EBD4-48B8-80A2-C672CA57DBE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7D6BFE49-C5C4-47A6-B0C3-0B85F18C91A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623D110-2D52-45C9-85BE-C1A104C4B22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19F37D"/>
    <w:multiLevelType w:val="singleLevel"/>
    <w:tmpl w:val="EE19F37D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1">
    <w:nsid w:val="F17C7614"/>
    <w:multiLevelType w:val="singleLevel"/>
    <w:tmpl w:val="F17C7614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F2E3329"/>
    <w:multiLevelType w:val="singleLevel"/>
    <w:tmpl w:val="0F2E332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83C75AE"/>
    <w:multiLevelType w:val="singleLevel"/>
    <w:tmpl w:val="183C75AE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4">
    <w:nsid w:val="5647F549"/>
    <w:multiLevelType w:val="singleLevel"/>
    <w:tmpl w:val="5647F549"/>
    <w:lvl w:ilvl="0" w:tentative="0">
      <w:start w:val="1"/>
      <w:numFmt w:val="decimal"/>
      <w:suff w:val="nothing"/>
      <w:lvlText w:val="（%1）"/>
      <w:lvlJc w:val="left"/>
      <w:rPr>
        <w:rFonts w:hint="default"/>
        <w:b w:val="0"/>
        <w:bCs w:val="0"/>
      </w:rPr>
    </w:lvl>
  </w:abstractNum>
  <w:abstractNum w:abstractNumId="5">
    <w:nsid w:val="681C6121"/>
    <w:multiLevelType w:val="singleLevel"/>
    <w:tmpl w:val="681C6121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6E9CF6AC"/>
    <w:multiLevelType w:val="singleLevel"/>
    <w:tmpl w:val="6E9CF6A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62212"/>
    <w:rsid w:val="164248D0"/>
    <w:rsid w:val="20803CC9"/>
    <w:rsid w:val="289911BD"/>
    <w:rsid w:val="3A5A7331"/>
    <w:rsid w:val="3EAA48DB"/>
    <w:rsid w:val="44850B52"/>
    <w:rsid w:val="5B413A7A"/>
    <w:rsid w:val="61D4609E"/>
    <w:rsid w:val="63D3192F"/>
    <w:rsid w:val="649E3CEB"/>
    <w:rsid w:val="73862212"/>
    <w:rsid w:val="79C3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1985</Words>
  <Characters>2067</Characters>
  <Lines>0</Lines>
  <Paragraphs>0</Paragraphs>
  <TotalTime>4</TotalTime>
  <ScaleCrop>false</ScaleCrop>
  <LinksUpToDate>false</LinksUpToDate>
  <CharactersWithSpaces>2071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2024-11-15T07:06:00Z</dcterms:created>
  <dc:creator>明心见一</dc:creator>
  <cp:lastModifiedBy>无心以出岫</cp:lastModifiedBy>
  <dcterms:modified xsi:type="dcterms:W3CDTF">2024-11-15T08:57:08Z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001788C337DE4D06B4451B7FE32B5119_11</vt:lpwstr>
  </property>
</Properties>
</file>